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708" w:rsidRDefault="00006519" w:rsidP="00006519">
      <w:pPr>
        <w:jc w:val="center"/>
        <w:rPr>
          <w:rFonts w:ascii="Helvetica" w:hAnsi="Helvetica" w:cs="Helvetica" w:hint="eastAsia"/>
          <w:b/>
          <w:bCs/>
          <w:color w:val="000000"/>
          <w:sz w:val="36"/>
          <w:szCs w:val="36"/>
        </w:rPr>
      </w:pPr>
      <w:bookmarkStart w:id="0" w:name="_GoBack"/>
      <w:r w:rsidRPr="00006519">
        <w:rPr>
          <w:rFonts w:ascii="Helvetica" w:hAnsi="Helvetica" w:cs="Helvetica"/>
          <w:b/>
          <w:bCs/>
          <w:color w:val="000000"/>
          <w:sz w:val="36"/>
          <w:szCs w:val="36"/>
        </w:rPr>
        <w:t>省人力资源社会保障厅</w:t>
      </w:r>
      <w:r>
        <w:rPr>
          <w:rFonts w:ascii="Helvetica" w:hAnsi="Helvetica" w:cs="Helvetica"/>
          <w:b/>
          <w:bCs/>
          <w:color w:val="000000"/>
          <w:sz w:val="36"/>
          <w:szCs w:val="36"/>
        </w:rPr>
        <w:t xml:space="preserve"> </w:t>
      </w:r>
      <w:r w:rsidRPr="00006519">
        <w:rPr>
          <w:rFonts w:ascii="Helvetica" w:hAnsi="Helvetica" w:cs="Helvetica"/>
          <w:b/>
          <w:bCs/>
          <w:color w:val="000000"/>
          <w:sz w:val="36"/>
          <w:szCs w:val="36"/>
        </w:rPr>
        <w:t>省财政厅</w:t>
      </w:r>
      <w:r>
        <w:rPr>
          <w:rFonts w:ascii="Helvetica" w:hAnsi="Helvetica" w:cs="Helvetica"/>
          <w:b/>
          <w:bCs/>
          <w:color w:val="000000"/>
          <w:sz w:val="36"/>
          <w:szCs w:val="36"/>
        </w:rPr>
        <w:t xml:space="preserve"> </w:t>
      </w:r>
      <w:r w:rsidRPr="00006519">
        <w:rPr>
          <w:rFonts w:ascii="Helvetica" w:hAnsi="Helvetica" w:cs="Helvetica"/>
          <w:b/>
          <w:bCs/>
          <w:color w:val="000000"/>
          <w:sz w:val="36"/>
          <w:szCs w:val="36"/>
        </w:rPr>
        <w:t>关于印发《江苏省工伤保险费率管理办法》的通知</w:t>
      </w:r>
    </w:p>
    <w:p w:rsidR="00635EAE" w:rsidRDefault="00635EAE" w:rsidP="00006519">
      <w:pPr>
        <w:jc w:val="center"/>
        <w:rPr>
          <w:rFonts w:ascii="Helvetica" w:hAnsi="Helvetica" w:cs="Helvetica" w:hint="eastAsia"/>
          <w:b/>
          <w:bCs/>
          <w:color w:val="000000"/>
          <w:sz w:val="36"/>
          <w:szCs w:val="36"/>
        </w:rPr>
      </w:pPr>
      <w:r>
        <w:rPr>
          <w:rFonts w:ascii="Helvetica" w:hAnsi="Helvetica" w:cs="Helvetica"/>
          <w:color w:val="333333"/>
        </w:rPr>
        <w:t>苏人社规〔</w:t>
      </w:r>
      <w:r>
        <w:rPr>
          <w:rFonts w:ascii="Helvetica" w:hAnsi="Helvetica" w:cs="Helvetica"/>
          <w:color w:val="333333"/>
        </w:rPr>
        <w:t>2020</w:t>
      </w:r>
      <w:r>
        <w:rPr>
          <w:rFonts w:ascii="Helvetica" w:hAnsi="Helvetica" w:cs="Helvetica"/>
          <w:color w:val="333333"/>
        </w:rPr>
        <w:t>〕</w:t>
      </w:r>
      <w:r>
        <w:rPr>
          <w:rFonts w:ascii="Helvetica" w:hAnsi="Helvetica" w:cs="Helvetica"/>
          <w:color w:val="333333"/>
        </w:rPr>
        <w:t>1</w:t>
      </w:r>
      <w:r>
        <w:rPr>
          <w:rFonts w:ascii="Helvetica" w:hAnsi="Helvetica" w:cs="Helvetica"/>
          <w:color w:val="333333"/>
        </w:rPr>
        <w:t>号</w:t>
      </w:r>
      <w:bookmarkEnd w:id="0"/>
    </w:p>
    <w:p w:rsidR="00006519" w:rsidRDefault="00006519" w:rsidP="00006519">
      <w:pPr>
        <w:pStyle w:val="a3"/>
        <w:spacing w:before="0" w:after="0" w:line="480" w:lineRule="atLeast"/>
        <w:rPr>
          <w:rFonts w:ascii="Helvetica" w:hAnsi="Helvetica" w:cs="Helvetica"/>
          <w:color w:val="000000"/>
          <w:sz w:val="29"/>
          <w:szCs w:val="29"/>
        </w:rPr>
      </w:pPr>
      <w:r>
        <w:rPr>
          <w:rFonts w:ascii="Helvetica" w:hAnsi="Helvetica" w:cs="Helvetica"/>
          <w:color w:val="000000"/>
          <w:sz w:val="29"/>
          <w:szCs w:val="29"/>
          <w:bdr w:val="none" w:sz="0" w:space="0" w:color="auto" w:frame="1"/>
        </w:rPr>
        <w:t>各设区市、县（市、区）人力资源社会保障局、财政局：</w:t>
      </w:r>
    </w:p>
    <w:p w:rsidR="00006519" w:rsidRDefault="00006519" w:rsidP="00006519">
      <w:pPr>
        <w:pStyle w:val="a3"/>
        <w:spacing w:line="480" w:lineRule="atLeast"/>
        <w:ind w:firstLine="480"/>
        <w:rPr>
          <w:rFonts w:ascii="Helvetica" w:hAnsi="Helvetica" w:cs="Helvetica"/>
          <w:color w:val="000000"/>
          <w:sz w:val="29"/>
          <w:szCs w:val="29"/>
        </w:rPr>
      </w:pPr>
      <w:r>
        <w:rPr>
          <w:rFonts w:ascii="Helvetica" w:hAnsi="Helvetica" w:cs="Helvetica"/>
          <w:color w:val="000000"/>
          <w:sz w:val="29"/>
          <w:szCs w:val="29"/>
        </w:rPr>
        <w:t>《江苏省工伤保险费率管理办法》已经省政府同意，现印发给你们，请认真贯彻执行。</w:t>
      </w:r>
    </w:p>
    <w:p w:rsidR="00006519" w:rsidRDefault="00006519" w:rsidP="00006519">
      <w:pPr>
        <w:pStyle w:val="a3"/>
        <w:spacing w:line="480" w:lineRule="atLeast"/>
        <w:ind w:firstLine="480"/>
        <w:rPr>
          <w:rFonts w:ascii="Helvetica" w:hAnsi="Helvetica" w:cs="Helvetica"/>
          <w:color w:val="000000"/>
          <w:sz w:val="29"/>
          <w:szCs w:val="29"/>
        </w:rPr>
      </w:pPr>
    </w:p>
    <w:p w:rsidR="00006519" w:rsidRDefault="00006519" w:rsidP="00006519">
      <w:pPr>
        <w:pStyle w:val="a3"/>
        <w:spacing w:line="480" w:lineRule="atLeast"/>
        <w:ind w:right="290" w:firstLine="480"/>
        <w:jc w:val="right"/>
        <w:rPr>
          <w:rFonts w:ascii="Helvetica" w:hAnsi="Helvetica" w:cs="Helvetica"/>
          <w:color w:val="000000"/>
          <w:sz w:val="29"/>
          <w:szCs w:val="29"/>
        </w:rPr>
      </w:pPr>
      <w:r>
        <w:rPr>
          <w:rFonts w:ascii="Helvetica" w:hAnsi="Helvetica" w:cs="Helvetica"/>
          <w:color w:val="000000"/>
          <w:sz w:val="29"/>
          <w:szCs w:val="29"/>
        </w:rPr>
        <w:t>江苏省人力资源和社会保障厅</w:t>
      </w:r>
      <w:r>
        <w:rPr>
          <w:rFonts w:ascii="Helvetica" w:hAnsi="Helvetica" w:cs="Helvetica" w:hint="eastAsia"/>
          <w:color w:val="000000"/>
          <w:sz w:val="29"/>
          <w:szCs w:val="29"/>
        </w:rPr>
        <w:t xml:space="preserve">   </w:t>
      </w:r>
      <w:r>
        <w:rPr>
          <w:rFonts w:ascii="Helvetica" w:hAnsi="Helvetica" w:cs="Helvetica"/>
          <w:color w:val="000000"/>
          <w:sz w:val="29"/>
          <w:szCs w:val="29"/>
        </w:rPr>
        <w:t>江苏省财政厅</w:t>
      </w:r>
    </w:p>
    <w:p w:rsidR="00006519" w:rsidRDefault="00006519" w:rsidP="00006519">
      <w:pPr>
        <w:pStyle w:val="a3"/>
        <w:spacing w:line="480" w:lineRule="atLeast"/>
        <w:ind w:firstLine="480"/>
        <w:jc w:val="right"/>
        <w:rPr>
          <w:rFonts w:ascii="Helvetica" w:hAnsi="Helvetica" w:cs="Helvetica"/>
          <w:color w:val="000000"/>
          <w:sz w:val="29"/>
          <w:szCs w:val="29"/>
        </w:rPr>
      </w:pPr>
      <w:r>
        <w:rPr>
          <w:rFonts w:ascii="Helvetica" w:hAnsi="Helvetica" w:cs="Helvetica"/>
          <w:color w:val="000000"/>
          <w:sz w:val="29"/>
          <w:szCs w:val="29"/>
        </w:rPr>
        <w:t>2020</w:t>
      </w:r>
      <w:r>
        <w:rPr>
          <w:rFonts w:ascii="Helvetica" w:hAnsi="Helvetica" w:cs="Helvetica"/>
          <w:color w:val="000000"/>
          <w:sz w:val="29"/>
          <w:szCs w:val="29"/>
        </w:rPr>
        <w:t>年</w:t>
      </w:r>
      <w:r>
        <w:rPr>
          <w:rFonts w:ascii="Helvetica" w:hAnsi="Helvetica" w:cs="Helvetica"/>
          <w:color w:val="000000"/>
          <w:sz w:val="29"/>
          <w:szCs w:val="29"/>
        </w:rPr>
        <w:t>12</w:t>
      </w:r>
      <w:r>
        <w:rPr>
          <w:rFonts w:ascii="Helvetica" w:hAnsi="Helvetica" w:cs="Helvetica"/>
          <w:color w:val="000000"/>
          <w:sz w:val="29"/>
          <w:szCs w:val="29"/>
        </w:rPr>
        <w:t>月</w:t>
      </w:r>
      <w:r>
        <w:rPr>
          <w:rFonts w:ascii="Helvetica" w:hAnsi="Helvetica" w:cs="Helvetica"/>
          <w:color w:val="000000"/>
          <w:sz w:val="29"/>
          <w:szCs w:val="29"/>
        </w:rPr>
        <w:t>2</w:t>
      </w:r>
      <w:r>
        <w:rPr>
          <w:rFonts w:ascii="Helvetica" w:hAnsi="Helvetica" w:cs="Helvetica"/>
          <w:color w:val="000000"/>
          <w:sz w:val="29"/>
          <w:szCs w:val="29"/>
        </w:rPr>
        <w:t>日</w:t>
      </w:r>
    </w:p>
    <w:p w:rsidR="00006519" w:rsidRDefault="00006519" w:rsidP="00006519">
      <w:pPr>
        <w:pStyle w:val="a3"/>
        <w:spacing w:before="0" w:beforeAutospacing="0" w:after="0" w:afterAutospacing="0" w:line="312" w:lineRule="auto"/>
        <w:ind w:firstLine="482"/>
        <w:jc w:val="center"/>
        <w:rPr>
          <w:rFonts w:ascii="Helvetica" w:hAnsi="Helvetica" w:cs="Helvetica"/>
          <w:color w:val="000000"/>
          <w:sz w:val="29"/>
          <w:szCs w:val="29"/>
        </w:rPr>
      </w:pPr>
      <w:r>
        <w:rPr>
          <w:rFonts w:ascii="Helvetica" w:hAnsi="Helvetica" w:cs="Helvetica"/>
          <w:color w:val="000000"/>
          <w:sz w:val="29"/>
          <w:szCs w:val="29"/>
        </w:rPr>
        <w:t>江苏省工伤保险费率管理办法</w:t>
      </w:r>
    </w:p>
    <w:p w:rsidR="00006519" w:rsidRDefault="00006519" w:rsidP="00006519">
      <w:pPr>
        <w:pStyle w:val="a3"/>
        <w:spacing w:before="0" w:beforeAutospacing="0" w:after="0" w:afterAutospacing="0" w:line="312" w:lineRule="auto"/>
        <w:ind w:firstLine="482"/>
        <w:jc w:val="center"/>
        <w:rPr>
          <w:rFonts w:ascii="Helvetica" w:hAnsi="Helvetica" w:cs="Helvetica"/>
          <w:color w:val="000000"/>
          <w:sz w:val="29"/>
          <w:szCs w:val="29"/>
        </w:rPr>
      </w:pPr>
      <w:r>
        <w:rPr>
          <w:rFonts w:ascii="Helvetica" w:hAnsi="Helvetica" w:cs="Helvetica"/>
          <w:color w:val="000000"/>
          <w:sz w:val="29"/>
          <w:szCs w:val="29"/>
        </w:rPr>
        <w:t>第一章</w:t>
      </w:r>
      <w:r>
        <w:rPr>
          <w:rFonts w:ascii="Helvetica" w:hAnsi="Helvetica" w:cs="Helvetica"/>
          <w:color w:val="000000"/>
          <w:sz w:val="29"/>
          <w:szCs w:val="29"/>
        </w:rPr>
        <w:t xml:space="preserve"> </w:t>
      </w:r>
      <w:r>
        <w:rPr>
          <w:rFonts w:ascii="Helvetica" w:hAnsi="Helvetica" w:cs="Helvetica"/>
          <w:color w:val="000000"/>
          <w:sz w:val="29"/>
          <w:szCs w:val="29"/>
        </w:rPr>
        <w:t>总则</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第一条</w:t>
      </w:r>
      <w:r>
        <w:rPr>
          <w:rFonts w:ascii="Helvetica" w:hAnsi="Helvetica" w:cs="Helvetica"/>
          <w:color w:val="000000"/>
          <w:sz w:val="29"/>
          <w:szCs w:val="29"/>
        </w:rPr>
        <w:t xml:space="preserve"> </w:t>
      </w:r>
      <w:r>
        <w:rPr>
          <w:rFonts w:ascii="Helvetica" w:hAnsi="Helvetica" w:cs="Helvetica"/>
          <w:color w:val="000000"/>
          <w:sz w:val="29"/>
          <w:szCs w:val="29"/>
        </w:rPr>
        <w:t>为规范工伤保险基金征缴，健全工伤保险制度，根据《工伤保险条例》（国务院令第</w:t>
      </w:r>
      <w:r>
        <w:rPr>
          <w:rFonts w:ascii="Helvetica" w:hAnsi="Helvetica" w:cs="Helvetica"/>
          <w:color w:val="000000"/>
          <w:sz w:val="29"/>
          <w:szCs w:val="29"/>
        </w:rPr>
        <w:t>586</w:t>
      </w:r>
      <w:r>
        <w:rPr>
          <w:rFonts w:ascii="Helvetica" w:hAnsi="Helvetica" w:cs="Helvetica"/>
          <w:color w:val="000000"/>
          <w:sz w:val="29"/>
          <w:szCs w:val="29"/>
        </w:rPr>
        <w:t>号）、《人力资源社会保障部财政部关于调整工伤保险费率政策的通知》（</w:t>
      </w:r>
      <w:proofErr w:type="gramStart"/>
      <w:r>
        <w:rPr>
          <w:rFonts w:ascii="Helvetica" w:hAnsi="Helvetica" w:cs="Helvetica"/>
          <w:color w:val="000000"/>
          <w:sz w:val="29"/>
          <w:szCs w:val="29"/>
        </w:rPr>
        <w:t>人社部</w:t>
      </w:r>
      <w:proofErr w:type="gramEnd"/>
      <w:r>
        <w:rPr>
          <w:rFonts w:ascii="Helvetica" w:hAnsi="Helvetica" w:cs="Helvetica"/>
          <w:color w:val="000000"/>
          <w:sz w:val="29"/>
          <w:szCs w:val="29"/>
        </w:rPr>
        <w:t>发〔</w:t>
      </w:r>
      <w:r>
        <w:rPr>
          <w:rFonts w:ascii="Helvetica" w:hAnsi="Helvetica" w:cs="Helvetica"/>
          <w:color w:val="000000"/>
          <w:sz w:val="29"/>
          <w:szCs w:val="29"/>
        </w:rPr>
        <w:t>2015</w:t>
      </w:r>
      <w:r>
        <w:rPr>
          <w:rFonts w:ascii="Helvetica" w:hAnsi="Helvetica" w:cs="Helvetica"/>
          <w:color w:val="000000"/>
          <w:sz w:val="29"/>
          <w:szCs w:val="29"/>
        </w:rPr>
        <w:t>〕</w:t>
      </w:r>
      <w:r>
        <w:rPr>
          <w:rFonts w:ascii="Helvetica" w:hAnsi="Helvetica" w:cs="Helvetica"/>
          <w:color w:val="000000"/>
          <w:sz w:val="29"/>
          <w:szCs w:val="29"/>
        </w:rPr>
        <w:t>71</w:t>
      </w:r>
      <w:r>
        <w:rPr>
          <w:rFonts w:ascii="Helvetica" w:hAnsi="Helvetica" w:cs="Helvetica"/>
          <w:color w:val="000000"/>
          <w:sz w:val="29"/>
          <w:szCs w:val="29"/>
        </w:rPr>
        <w:t>号）和《省政府办公厅关于江苏省工伤保险省级统筹的实施意见》（苏政办发〔</w:t>
      </w:r>
      <w:r>
        <w:rPr>
          <w:rFonts w:ascii="Helvetica" w:hAnsi="Helvetica" w:cs="Helvetica"/>
          <w:color w:val="000000"/>
          <w:sz w:val="29"/>
          <w:szCs w:val="29"/>
        </w:rPr>
        <w:t>2020</w:t>
      </w:r>
      <w:r>
        <w:rPr>
          <w:rFonts w:ascii="Helvetica" w:hAnsi="Helvetica" w:cs="Helvetica"/>
          <w:color w:val="000000"/>
          <w:sz w:val="29"/>
          <w:szCs w:val="29"/>
        </w:rPr>
        <w:t>〕</w:t>
      </w:r>
      <w:r>
        <w:rPr>
          <w:rFonts w:ascii="Helvetica" w:hAnsi="Helvetica" w:cs="Helvetica"/>
          <w:color w:val="000000"/>
          <w:sz w:val="29"/>
          <w:szCs w:val="29"/>
        </w:rPr>
        <w:t>3</w:t>
      </w:r>
      <w:r>
        <w:rPr>
          <w:rFonts w:ascii="Helvetica" w:hAnsi="Helvetica" w:cs="Helvetica"/>
          <w:color w:val="000000"/>
          <w:sz w:val="29"/>
          <w:szCs w:val="29"/>
        </w:rPr>
        <w:t>号）等有关规定，按照以支定收、收支平衡的原则，结合本省实际，制定本办法。</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第二条</w:t>
      </w:r>
      <w:r>
        <w:rPr>
          <w:rFonts w:ascii="Helvetica" w:hAnsi="Helvetica" w:cs="Helvetica"/>
          <w:color w:val="000000"/>
          <w:sz w:val="29"/>
          <w:szCs w:val="29"/>
        </w:rPr>
        <w:t xml:space="preserve"> </w:t>
      </w:r>
      <w:r>
        <w:rPr>
          <w:rFonts w:ascii="Helvetica" w:hAnsi="Helvetica" w:cs="Helvetica"/>
          <w:color w:val="000000"/>
          <w:sz w:val="29"/>
          <w:szCs w:val="29"/>
        </w:rPr>
        <w:t>本省行政区域内的国家机关、企业、事业单位、社会团体、民办非企业单位、基金会、律师事务所、会计师事务所等组织和有雇工的个体工商户（以下称用人单位）适用本办法。</w:t>
      </w:r>
    </w:p>
    <w:p w:rsidR="00006519" w:rsidRDefault="00006519" w:rsidP="00006519">
      <w:pPr>
        <w:pStyle w:val="a3"/>
        <w:spacing w:before="0" w:beforeAutospacing="0" w:after="0" w:afterAutospacing="0" w:line="312" w:lineRule="auto"/>
        <w:ind w:firstLine="482"/>
        <w:jc w:val="center"/>
        <w:rPr>
          <w:rFonts w:ascii="Helvetica" w:hAnsi="Helvetica" w:cs="Helvetica"/>
          <w:color w:val="000000"/>
          <w:sz w:val="29"/>
          <w:szCs w:val="29"/>
        </w:rPr>
      </w:pPr>
      <w:r>
        <w:rPr>
          <w:rFonts w:ascii="Helvetica" w:hAnsi="Helvetica" w:cs="Helvetica"/>
          <w:color w:val="000000"/>
          <w:sz w:val="29"/>
          <w:szCs w:val="29"/>
        </w:rPr>
        <w:lastRenderedPageBreak/>
        <w:t>第二章</w:t>
      </w:r>
      <w:r>
        <w:rPr>
          <w:rFonts w:ascii="Helvetica" w:hAnsi="Helvetica" w:cs="Helvetica"/>
          <w:color w:val="000000"/>
          <w:sz w:val="29"/>
          <w:szCs w:val="29"/>
        </w:rPr>
        <w:t xml:space="preserve">   </w:t>
      </w:r>
      <w:r>
        <w:rPr>
          <w:rFonts w:ascii="Helvetica" w:hAnsi="Helvetica" w:cs="Helvetica"/>
          <w:color w:val="000000"/>
          <w:sz w:val="29"/>
          <w:szCs w:val="29"/>
        </w:rPr>
        <w:t>行业基准费率</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第三条</w:t>
      </w:r>
      <w:r>
        <w:rPr>
          <w:rFonts w:ascii="Helvetica" w:hAnsi="Helvetica" w:cs="Helvetica"/>
          <w:color w:val="000000"/>
          <w:sz w:val="29"/>
          <w:szCs w:val="29"/>
        </w:rPr>
        <w:t xml:space="preserve"> </w:t>
      </w:r>
      <w:r>
        <w:rPr>
          <w:rFonts w:ascii="Helvetica" w:hAnsi="Helvetica" w:cs="Helvetica"/>
          <w:color w:val="000000"/>
          <w:sz w:val="29"/>
          <w:szCs w:val="29"/>
        </w:rPr>
        <w:t>本省行政区域内的行业按照国家有关规定依次划分为一类至八类工伤风险类别，其行业基准费率分别为该行业用人单位工资总额的</w:t>
      </w:r>
      <w:r>
        <w:rPr>
          <w:rFonts w:ascii="Helvetica" w:hAnsi="Helvetica" w:cs="Helvetica"/>
          <w:color w:val="000000"/>
          <w:sz w:val="29"/>
          <w:szCs w:val="29"/>
        </w:rPr>
        <w:t>0.2%</w:t>
      </w:r>
      <w:r>
        <w:rPr>
          <w:rFonts w:ascii="Helvetica" w:hAnsi="Helvetica" w:cs="Helvetica"/>
          <w:color w:val="000000"/>
          <w:sz w:val="29"/>
          <w:szCs w:val="29"/>
        </w:rPr>
        <w:t>、</w:t>
      </w:r>
      <w:r>
        <w:rPr>
          <w:rFonts w:ascii="Helvetica" w:hAnsi="Helvetica" w:cs="Helvetica"/>
          <w:color w:val="000000"/>
          <w:sz w:val="29"/>
          <w:szCs w:val="29"/>
        </w:rPr>
        <w:t>0.4%</w:t>
      </w:r>
      <w:r>
        <w:rPr>
          <w:rFonts w:ascii="Helvetica" w:hAnsi="Helvetica" w:cs="Helvetica"/>
          <w:color w:val="000000"/>
          <w:sz w:val="29"/>
          <w:szCs w:val="29"/>
        </w:rPr>
        <w:t>、</w:t>
      </w:r>
      <w:r>
        <w:rPr>
          <w:rFonts w:ascii="Helvetica" w:hAnsi="Helvetica" w:cs="Helvetica"/>
          <w:color w:val="000000"/>
          <w:sz w:val="29"/>
          <w:szCs w:val="29"/>
        </w:rPr>
        <w:t>0.7%</w:t>
      </w:r>
      <w:r>
        <w:rPr>
          <w:rFonts w:ascii="Helvetica" w:hAnsi="Helvetica" w:cs="Helvetica"/>
          <w:color w:val="000000"/>
          <w:sz w:val="29"/>
          <w:szCs w:val="29"/>
        </w:rPr>
        <w:t>、</w:t>
      </w:r>
      <w:r>
        <w:rPr>
          <w:rFonts w:ascii="Helvetica" w:hAnsi="Helvetica" w:cs="Helvetica"/>
          <w:color w:val="000000"/>
          <w:sz w:val="29"/>
          <w:szCs w:val="29"/>
        </w:rPr>
        <w:t>0.9%</w:t>
      </w:r>
      <w:r>
        <w:rPr>
          <w:rFonts w:ascii="Helvetica" w:hAnsi="Helvetica" w:cs="Helvetica"/>
          <w:color w:val="000000"/>
          <w:sz w:val="29"/>
          <w:szCs w:val="29"/>
        </w:rPr>
        <w:t>、</w:t>
      </w:r>
      <w:r>
        <w:rPr>
          <w:rFonts w:ascii="Helvetica" w:hAnsi="Helvetica" w:cs="Helvetica"/>
          <w:color w:val="000000"/>
          <w:sz w:val="29"/>
          <w:szCs w:val="29"/>
        </w:rPr>
        <w:t>1.1%</w:t>
      </w:r>
      <w:r>
        <w:rPr>
          <w:rFonts w:ascii="Helvetica" w:hAnsi="Helvetica" w:cs="Helvetica"/>
          <w:color w:val="000000"/>
          <w:sz w:val="29"/>
          <w:szCs w:val="29"/>
        </w:rPr>
        <w:t>、</w:t>
      </w:r>
      <w:r>
        <w:rPr>
          <w:rFonts w:ascii="Helvetica" w:hAnsi="Helvetica" w:cs="Helvetica"/>
          <w:color w:val="000000"/>
          <w:sz w:val="29"/>
          <w:szCs w:val="29"/>
        </w:rPr>
        <w:t>1.3%</w:t>
      </w:r>
      <w:r>
        <w:rPr>
          <w:rFonts w:ascii="Helvetica" w:hAnsi="Helvetica" w:cs="Helvetica"/>
          <w:color w:val="000000"/>
          <w:sz w:val="29"/>
          <w:szCs w:val="29"/>
        </w:rPr>
        <w:t>、</w:t>
      </w:r>
      <w:r>
        <w:rPr>
          <w:rFonts w:ascii="Helvetica" w:hAnsi="Helvetica" w:cs="Helvetica"/>
          <w:color w:val="000000"/>
          <w:sz w:val="29"/>
          <w:szCs w:val="29"/>
        </w:rPr>
        <w:t>1.6%</w:t>
      </w:r>
      <w:r>
        <w:rPr>
          <w:rFonts w:ascii="Helvetica" w:hAnsi="Helvetica" w:cs="Helvetica"/>
          <w:color w:val="000000"/>
          <w:sz w:val="29"/>
          <w:szCs w:val="29"/>
        </w:rPr>
        <w:t>、</w:t>
      </w:r>
      <w:r>
        <w:rPr>
          <w:rFonts w:ascii="Helvetica" w:hAnsi="Helvetica" w:cs="Helvetica"/>
          <w:color w:val="000000"/>
          <w:sz w:val="29"/>
          <w:szCs w:val="29"/>
        </w:rPr>
        <w:t>1.9%</w:t>
      </w:r>
      <w:r>
        <w:rPr>
          <w:rFonts w:ascii="Helvetica" w:hAnsi="Helvetica" w:cs="Helvetica"/>
          <w:color w:val="000000"/>
          <w:sz w:val="29"/>
          <w:szCs w:val="29"/>
        </w:rPr>
        <w:t>（见附件）。省人力资源社会保障部门、财政部门可以根据全省工伤保险基金使用、结余等情况，适时调整工伤保险行业基准费率。</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第四条</w:t>
      </w:r>
      <w:r>
        <w:rPr>
          <w:rFonts w:ascii="Helvetica" w:hAnsi="Helvetica" w:cs="Helvetica"/>
          <w:color w:val="000000"/>
          <w:sz w:val="29"/>
          <w:szCs w:val="29"/>
        </w:rPr>
        <w:t xml:space="preserve"> </w:t>
      </w:r>
      <w:r>
        <w:rPr>
          <w:rFonts w:ascii="Helvetica" w:hAnsi="Helvetica" w:cs="Helvetica"/>
          <w:color w:val="000000"/>
          <w:sz w:val="29"/>
          <w:szCs w:val="29"/>
        </w:rPr>
        <w:t>从事两种或两种以上经营生产业务的用人单位，根据其所从事的主要经营生产业务，确定其行业工伤风险类别和工伤保险基准费率。</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第五条</w:t>
      </w:r>
      <w:r>
        <w:rPr>
          <w:rFonts w:ascii="Helvetica" w:hAnsi="Helvetica" w:cs="Helvetica"/>
          <w:color w:val="000000"/>
          <w:sz w:val="29"/>
          <w:szCs w:val="29"/>
        </w:rPr>
        <w:t xml:space="preserve"> </w:t>
      </w:r>
      <w:r>
        <w:rPr>
          <w:rFonts w:ascii="Helvetica" w:hAnsi="Helvetica" w:cs="Helvetica"/>
          <w:color w:val="000000"/>
          <w:sz w:val="29"/>
          <w:szCs w:val="29"/>
        </w:rPr>
        <w:t>劳务派遣单位根据被派遣劳动者实际用工单位所在行业确定缴费费率。用人单位或劳务派遣单位应及时向社会保险经办机构报备实际用工的工伤风险类别变化情况。</w:t>
      </w:r>
    </w:p>
    <w:p w:rsidR="00006519" w:rsidRDefault="00006519" w:rsidP="00006519">
      <w:pPr>
        <w:pStyle w:val="a3"/>
        <w:spacing w:before="0" w:beforeAutospacing="0" w:after="0" w:afterAutospacing="0" w:line="312" w:lineRule="auto"/>
        <w:ind w:firstLine="482"/>
        <w:jc w:val="center"/>
        <w:rPr>
          <w:rFonts w:ascii="Helvetica" w:hAnsi="Helvetica" w:cs="Helvetica"/>
          <w:color w:val="000000"/>
          <w:sz w:val="29"/>
          <w:szCs w:val="29"/>
        </w:rPr>
      </w:pPr>
      <w:r>
        <w:rPr>
          <w:rFonts w:ascii="Helvetica" w:hAnsi="Helvetica" w:cs="Helvetica"/>
          <w:color w:val="000000"/>
          <w:sz w:val="29"/>
          <w:szCs w:val="29"/>
        </w:rPr>
        <w:t>第三章</w:t>
      </w:r>
      <w:r>
        <w:rPr>
          <w:rFonts w:ascii="Helvetica" w:hAnsi="Helvetica" w:cs="Helvetica"/>
          <w:color w:val="000000"/>
          <w:sz w:val="29"/>
          <w:szCs w:val="29"/>
        </w:rPr>
        <w:t xml:space="preserve">   </w:t>
      </w:r>
      <w:r>
        <w:rPr>
          <w:rFonts w:ascii="Helvetica" w:hAnsi="Helvetica" w:cs="Helvetica"/>
          <w:color w:val="000000"/>
          <w:sz w:val="29"/>
          <w:szCs w:val="29"/>
        </w:rPr>
        <w:t>工程建设项目缴费</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第六条</w:t>
      </w:r>
      <w:r>
        <w:rPr>
          <w:rFonts w:ascii="Helvetica" w:hAnsi="Helvetica" w:cs="Helvetica"/>
          <w:color w:val="000000"/>
          <w:sz w:val="29"/>
          <w:szCs w:val="29"/>
        </w:rPr>
        <w:t xml:space="preserve"> </w:t>
      </w:r>
      <w:r>
        <w:rPr>
          <w:rFonts w:ascii="Helvetica" w:hAnsi="Helvetica" w:cs="Helvetica"/>
          <w:color w:val="000000"/>
          <w:sz w:val="29"/>
          <w:szCs w:val="29"/>
        </w:rPr>
        <w:t>参保单位适用工程建设项目参保的，以工程建设项目或标段为单位参加工伤保险，工伤保险缴费比例为该参保项目或标段的工程总造价的</w:t>
      </w:r>
      <w:r>
        <w:rPr>
          <w:rFonts w:ascii="Helvetica" w:hAnsi="Helvetica" w:cs="Helvetica"/>
          <w:color w:val="000000"/>
          <w:sz w:val="29"/>
          <w:szCs w:val="29"/>
        </w:rPr>
        <w:t>0.9‰</w:t>
      </w:r>
      <w:r>
        <w:rPr>
          <w:rFonts w:ascii="Helvetica" w:hAnsi="Helvetica" w:cs="Helvetica"/>
          <w:color w:val="000000"/>
          <w:sz w:val="29"/>
          <w:szCs w:val="29"/>
        </w:rPr>
        <w:t>。</w:t>
      </w:r>
    </w:p>
    <w:p w:rsidR="00006519" w:rsidRDefault="00006519" w:rsidP="00006519">
      <w:pPr>
        <w:pStyle w:val="a3"/>
        <w:spacing w:before="0" w:beforeAutospacing="0" w:after="0" w:afterAutospacing="0" w:line="312" w:lineRule="auto"/>
        <w:ind w:firstLine="482"/>
        <w:jc w:val="center"/>
        <w:rPr>
          <w:rFonts w:ascii="Helvetica" w:hAnsi="Helvetica" w:cs="Helvetica"/>
          <w:color w:val="000000"/>
          <w:sz w:val="29"/>
          <w:szCs w:val="29"/>
        </w:rPr>
      </w:pPr>
      <w:r>
        <w:rPr>
          <w:rFonts w:ascii="Helvetica" w:hAnsi="Helvetica" w:cs="Helvetica"/>
          <w:color w:val="000000"/>
          <w:sz w:val="29"/>
          <w:szCs w:val="29"/>
        </w:rPr>
        <w:t>第四章</w:t>
      </w:r>
      <w:r>
        <w:rPr>
          <w:rFonts w:ascii="Helvetica" w:hAnsi="Helvetica" w:cs="Helvetica"/>
          <w:color w:val="000000"/>
          <w:sz w:val="29"/>
          <w:szCs w:val="29"/>
        </w:rPr>
        <w:t xml:space="preserve">  </w:t>
      </w:r>
      <w:r>
        <w:rPr>
          <w:rFonts w:ascii="Helvetica" w:hAnsi="Helvetica" w:cs="Helvetica"/>
          <w:color w:val="000000"/>
          <w:sz w:val="29"/>
          <w:szCs w:val="29"/>
        </w:rPr>
        <w:t>用人单位浮动费率</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第七条</w:t>
      </w:r>
      <w:r>
        <w:rPr>
          <w:rFonts w:ascii="Helvetica" w:hAnsi="Helvetica" w:cs="Helvetica"/>
          <w:color w:val="000000"/>
          <w:sz w:val="29"/>
          <w:szCs w:val="29"/>
        </w:rPr>
        <w:t xml:space="preserve"> </w:t>
      </w:r>
      <w:r>
        <w:rPr>
          <w:rFonts w:ascii="Helvetica" w:hAnsi="Helvetica" w:cs="Helvetica"/>
          <w:color w:val="000000"/>
          <w:sz w:val="29"/>
          <w:szCs w:val="29"/>
        </w:rPr>
        <w:t>用人单位费率实行浮动管理，其中：一类行业在基准费率的基础上，可向上浮动至</w:t>
      </w:r>
      <w:r>
        <w:rPr>
          <w:rFonts w:ascii="Helvetica" w:hAnsi="Helvetica" w:cs="Helvetica"/>
          <w:color w:val="000000"/>
          <w:sz w:val="29"/>
          <w:szCs w:val="29"/>
        </w:rPr>
        <w:t>120%</w:t>
      </w:r>
      <w:r>
        <w:rPr>
          <w:rFonts w:ascii="Helvetica" w:hAnsi="Helvetica" w:cs="Helvetica"/>
          <w:color w:val="000000"/>
          <w:sz w:val="29"/>
          <w:szCs w:val="29"/>
        </w:rPr>
        <w:t>、</w:t>
      </w:r>
      <w:r>
        <w:rPr>
          <w:rFonts w:ascii="Helvetica" w:hAnsi="Helvetica" w:cs="Helvetica"/>
          <w:color w:val="000000"/>
          <w:sz w:val="29"/>
          <w:szCs w:val="29"/>
        </w:rPr>
        <w:t>150%</w:t>
      </w:r>
      <w:r>
        <w:rPr>
          <w:rFonts w:ascii="Helvetica" w:hAnsi="Helvetica" w:cs="Helvetica"/>
          <w:color w:val="000000"/>
          <w:sz w:val="29"/>
          <w:szCs w:val="29"/>
        </w:rPr>
        <w:t>，不可向下浮动；二类至八类行业在基准费率的基础上，可向上浮动至</w:t>
      </w:r>
      <w:r>
        <w:rPr>
          <w:rFonts w:ascii="Helvetica" w:hAnsi="Helvetica" w:cs="Helvetica"/>
          <w:color w:val="000000"/>
          <w:sz w:val="29"/>
          <w:szCs w:val="29"/>
        </w:rPr>
        <w:t>120%</w:t>
      </w:r>
      <w:r>
        <w:rPr>
          <w:rFonts w:ascii="Helvetica" w:hAnsi="Helvetica" w:cs="Helvetica"/>
          <w:color w:val="000000"/>
          <w:sz w:val="29"/>
          <w:szCs w:val="29"/>
        </w:rPr>
        <w:t>、</w:t>
      </w:r>
      <w:r>
        <w:rPr>
          <w:rFonts w:ascii="Helvetica" w:hAnsi="Helvetica" w:cs="Helvetica"/>
          <w:color w:val="000000"/>
          <w:sz w:val="29"/>
          <w:szCs w:val="29"/>
        </w:rPr>
        <w:t>150%</w:t>
      </w:r>
      <w:r>
        <w:rPr>
          <w:rFonts w:ascii="Helvetica" w:hAnsi="Helvetica" w:cs="Helvetica"/>
          <w:color w:val="000000"/>
          <w:sz w:val="29"/>
          <w:szCs w:val="29"/>
        </w:rPr>
        <w:t>或向下浮动至</w:t>
      </w:r>
      <w:r>
        <w:rPr>
          <w:rFonts w:ascii="Helvetica" w:hAnsi="Helvetica" w:cs="Helvetica"/>
          <w:color w:val="000000"/>
          <w:sz w:val="29"/>
          <w:szCs w:val="29"/>
        </w:rPr>
        <w:t>80%</w:t>
      </w:r>
      <w:r>
        <w:rPr>
          <w:rFonts w:ascii="Helvetica" w:hAnsi="Helvetica" w:cs="Helvetica"/>
          <w:color w:val="000000"/>
          <w:sz w:val="29"/>
          <w:szCs w:val="29"/>
        </w:rPr>
        <w:t>、</w:t>
      </w:r>
      <w:r>
        <w:rPr>
          <w:rFonts w:ascii="Helvetica" w:hAnsi="Helvetica" w:cs="Helvetica"/>
          <w:color w:val="000000"/>
          <w:sz w:val="29"/>
          <w:szCs w:val="29"/>
        </w:rPr>
        <w:t>50%</w:t>
      </w:r>
      <w:r>
        <w:rPr>
          <w:rFonts w:ascii="Helvetica" w:hAnsi="Helvetica" w:cs="Helvetica"/>
          <w:color w:val="000000"/>
          <w:sz w:val="29"/>
          <w:szCs w:val="29"/>
        </w:rPr>
        <w:t>。</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lastRenderedPageBreak/>
        <w:t>第八条</w:t>
      </w:r>
      <w:r>
        <w:rPr>
          <w:rFonts w:ascii="Helvetica" w:hAnsi="Helvetica" w:cs="Helvetica"/>
          <w:color w:val="000000"/>
          <w:sz w:val="29"/>
          <w:szCs w:val="29"/>
        </w:rPr>
        <w:t xml:space="preserve"> </w:t>
      </w:r>
      <w:r>
        <w:rPr>
          <w:rFonts w:ascii="Helvetica" w:hAnsi="Helvetica" w:cs="Helvetica"/>
          <w:color w:val="000000"/>
          <w:sz w:val="29"/>
          <w:szCs w:val="29"/>
        </w:rPr>
        <w:t>各预算单位工伤保险经办机构具体负责本行政区域内用人单位费率核定工作。用人单位费率每两年浮动调整一次，调整时间为调整年度的</w:t>
      </w:r>
      <w:r>
        <w:rPr>
          <w:rFonts w:ascii="Helvetica" w:hAnsi="Helvetica" w:cs="Helvetica"/>
          <w:color w:val="000000"/>
          <w:sz w:val="29"/>
          <w:szCs w:val="29"/>
        </w:rPr>
        <w:t>1</w:t>
      </w:r>
      <w:r>
        <w:rPr>
          <w:rFonts w:ascii="Helvetica" w:hAnsi="Helvetica" w:cs="Helvetica"/>
          <w:color w:val="000000"/>
          <w:sz w:val="29"/>
          <w:szCs w:val="29"/>
        </w:rPr>
        <w:t>月</w:t>
      </w:r>
      <w:r>
        <w:rPr>
          <w:rFonts w:ascii="Helvetica" w:hAnsi="Helvetica" w:cs="Helvetica"/>
          <w:color w:val="000000"/>
          <w:sz w:val="29"/>
          <w:szCs w:val="29"/>
        </w:rPr>
        <w:t>1</w:t>
      </w:r>
      <w:r>
        <w:rPr>
          <w:rFonts w:ascii="Helvetica" w:hAnsi="Helvetica" w:cs="Helvetica"/>
          <w:color w:val="000000"/>
          <w:sz w:val="29"/>
          <w:szCs w:val="29"/>
        </w:rPr>
        <w:t>日，本办法施行后首次调整时间为</w:t>
      </w:r>
      <w:r>
        <w:rPr>
          <w:rFonts w:ascii="Helvetica" w:hAnsi="Helvetica" w:cs="Helvetica"/>
          <w:color w:val="000000"/>
          <w:sz w:val="29"/>
          <w:szCs w:val="29"/>
        </w:rPr>
        <w:t>2023</w:t>
      </w:r>
      <w:r>
        <w:rPr>
          <w:rFonts w:ascii="Helvetica" w:hAnsi="Helvetica" w:cs="Helvetica"/>
          <w:color w:val="000000"/>
          <w:sz w:val="29"/>
          <w:szCs w:val="29"/>
        </w:rPr>
        <w:t>年</w:t>
      </w:r>
      <w:r>
        <w:rPr>
          <w:rFonts w:ascii="Helvetica" w:hAnsi="Helvetica" w:cs="Helvetica"/>
          <w:color w:val="000000"/>
          <w:sz w:val="29"/>
          <w:szCs w:val="29"/>
        </w:rPr>
        <w:t>1</w:t>
      </w:r>
      <w:r>
        <w:rPr>
          <w:rFonts w:ascii="Helvetica" w:hAnsi="Helvetica" w:cs="Helvetica"/>
          <w:color w:val="000000"/>
          <w:sz w:val="29"/>
          <w:szCs w:val="29"/>
        </w:rPr>
        <w:t>月</w:t>
      </w:r>
      <w:r>
        <w:rPr>
          <w:rFonts w:ascii="Helvetica" w:hAnsi="Helvetica" w:cs="Helvetica"/>
          <w:color w:val="000000"/>
          <w:sz w:val="29"/>
          <w:szCs w:val="29"/>
        </w:rPr>
        <w:t>1</w:t>
      </w:r>
      <w:r>
        <w:rPr>
          <w:rFonts w:ascii="Helvetica" w:hAnsi="Helvetica" w:cs="Helvetica"/>
          <w:color w:val="000000"/>
          <w:sz w:val="29"/>
          <w:szCs w:val="29"/>
        </w:rPr>
        <w:t>日。</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第九条</w:t>
      </w:r>
      <w:r>
        <w:rPr>
          <w:rFonts w:ascii="Helvetica" w:hAnsi="Helvetica" w:cs="Helvetica"/>
          <w:color w:val="000000"/>
          <w:sz w:val="29"/>
          <w:szCs w:val="29"/>
        </w:rPr>
        <w:t xml:space="preserve"> </w:t>
      </w:r>
      <w:r>
        <w:rPr>
          <w:rFonts w:ascii="Helvetica" w:hAnsi="Helvetica" w:cs="Helvetica"/>
          <w:color w:val="000000"/>
          <w:sz w:val="29"/>
          <w:szCs w:val="29"/>
        </w:rPr>
        <w:t>各预算单位工伤保险经办机构根据上一浮动周期内用人单位的工伤</w:t>
      </w:r>
      <w:proofErr w:type="gramStart"/>
      <w:r>
        <w:rPr>
          <w:rFonts w:ascii="Helvetica" w:hAnsi="Helvetica" w:cs="Helvetica"/>
          <w:color w:val="000000"/>
          <w:sz w:val="29"/>
          <w:szCs w:val="29"/>
        </w:rPr>
        <w:t>保险支缴率</w:t>
      </w:r>
      <w:proofErr w:type="gramEnd"/>
      <w:r>
        <w:rPr>
          <w:rFonts w:ascii="Helvetica" w:hAnsi="Helvetica" w:cs="Helvetica"/>
          <w:color w:val="000000"/>
          <w:sz w:val="29"/>
          <w:szCs w:val="29"/>
        </w:rPr>
        <w:t>、工伤发生率等因素，确定该用人单位工伤保险费率。</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工伤</w:t>
      </w:r>
      <w:proofErr w:type="gramStart"/>
      <w:r>
        <w:rPr>
          <w:rFonts w:ascii="Helvetica" w:hAnsi="Helvetica" w:cs="Helvetica"/>
          <w:color w:val="000000"/>
          <w:sz w:val="29"/>
          <w:szCs w:val="29"/>
        </w:rPr>
        <w:t>保险支缴率</w:t>
      </w:r>
      <w:proofErr w:type="gramEnd"/>
      <w:r>
        <w:rPr>
          <w:rFonts w:ascii="Helvetica" w:hAnsi="Helvetica" w:cs="Helvetica"/>
          <w:color w:val="000000"/>
          <w:sz w:val="29"/>
          <w:szCs w:val="29"/>
        </w:rPr>
        <w:t>，是指工伤保险基金支付某个用人单位工伤人员的工伤保险待遇与该用人单位缴纳工伤保险费的比例。</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工伤发生率，是指经社会保险行政部门认定的该单位工伤人次数与该单位月平均缴费人数的比例。</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用人单位首次参保且缴费不满</w:t>
      </w:r>
      <w:r>
        <w:rPr>
          <w:rFonts w:ascii="Helvetica" w:hAnsi="Helvetica" w:cs="Helvetica"/>
          <w:color w:val="000000"/>
          <w:sz w:val="29"/>
          <w:szCs w:val="29"/>
        </w:rPr>
        <w:t>2</w:t>
      </w:r>
      <w:r>
        <w:rPr>
          <w:rFonts w:ascii="Helvetica" w:hAnsi="Helvetica" w:cs="Helvetica"/>
          <w:color w:val="000000"/>
          <w:sz w:val="29"/>
          <w:szCs w:val="29"/>
        </w:rPr>
        <w:t>年的，不实施浮动。用人单位非首次参保且缴费不满</w:t>
      </w:r>
      <w:r>
        <w:rPr>
          <w:rFonts w:ascii="Helvetica" w:hAnsi="Helvetica" w:cs="Helvetica"/>
          <w:color w:val="000000"/>
          <w:sz w:val="29"/>
          <w:szCs w:val="29"/>
        </w:rPr>
        <w:t>2</w:t>
      </w:r>
      <w:r>
        <w:rPr>
          <w:rFonts w:ascii="Helvetica" w:hAnsi="Helvetica" w:cs="Helvetica"/>
          <w:color w:val="000000"/>
          <w:sz w:val="29"/>
          <w:szCs w:val="29"/>
        </w:rPr>
        <w:t>年的，按实际缴费月份</w:t>
      </w:r>
      <w:proofErr w:type="gramStart"/>
      <w:r>
        <w:rPr>
          <w:rFonts w:ascii="Helvetica" w:hAnsi="Helvetica" w:cs="Helvetica"/>
          <w:color w:val="000000"/>
          <w:sz w:val="29"/>
          <w:szCs w:val="29"/>
        </w:rPr>
        <w:t>计算支缴率</w:t>
      </w:r>
      <w:proofErr w:type="gramEnd"/>
      <w:r>
        <w:rPr>
          <w:rFonts w:ascii="Helvetica" w:hAnsi="Helvetica" w:cs="Helvetica"/>
          <w:color w:val="000000"/>
          <w:sz w:val="29"/>
          <w:szCs w:val="29"/>
        </w:rPr>
        <w:t>、工伤发生率。</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 xml:space="preserve">   </w:t>
      </w:r>
      <w:r>
        <w:rPr>
          <w:rFonts w:ascii="Helvetica" w:hAnsi="Helvetica" w:cs="Helvetica"/>
          <w:color w:val="000000"/>
          <w:sz w:val="29"/>
          <w:szCs w:val="29"/>
        </w:rPr>
        <w:t>第十条</w:t>
      </w:r>
      <w:r>
        <w:rPr>
          <w:rFonts w:ascii="Helvetica" w:hAnsi="Helvetica" w:cs="Helvetica"/>
          <w:color w:val="000000"/>
          <w:sz w:val="29"/>
          <w:szCs w:val="29"/>
        </w:rPr>
        <w:t xml:space="preserve"> </w:t>
      </w:r>
      <w:r>
        <w:rPr>
          <w:rFonts w:ascii="Helvetica" w:hAnsi="Helvetica" w:cs="Helvetica"/>
          <w:color w:val="000000"/>
          <w:sz w:val="29"/>
          <w:szCs w:val="29"/>
        </w:rPr>
        <w:t>用人单位上一浮动周期内工伤</w:t>
      </w:r>
      <w:proofErr w:type="gramStart"/>
      <w:r>
        <w:rPr>
          <w:rFonts w:ascii="Helvetica" w:hAnsi="Helvetica" w:cs="Helvetica"/>
          <w:color w:val="000000"/>
          <w:sz w:val="29"/>
          <w:szCs w:val="29"/>
        </w:rPr>
        <w:t>保险支缴率</w:t>
      </w:r>
      <w:proofErr w:type="gramEnd"/>
      <w:r>
        <w:rPr>
          <w:rFonts w:ascii="Helvetica" w:hAnsi="Helvetica" w:cs="Helvetica"/>
          <w:color w:val="000000"/>
          <w:sz w:val="29"/>
          <w:szCs w:val="29"/>
        </w:rPr>
        <w:t>和工伤发生率均为零的，费率下浮至本行业基准费率的</w:t>
      </w:r>
      <w:r>
        <w:rPr>
          <w:rFonts w:ascii="Helvetica" w:hAnsi="Helvetica" w:cs="Helvetica"/>
          <w:color w:val="000000"/>
          <w:sz w:val="29"/>
          <w:szCs w:val="29"/>
        </w:rPr>
        <w:t>80%</w:t>
      </w:r>
      <w:r>
        <w:rPr>
          <w:rFonts w:ascii="Helvetica" w:hAnsi="Helvetica" w:cs="Helvetica"/>
          <w:color w:val="000000"/>
          <w:sz w:val="29"/>
          <w:szCs w:val="29"/>
        </w:rPr>
        <w:t>；</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用人单位连续两个浮动周期内工伤发生率和工伤</w:t>
      </w:r>
      <w:proofErr w:type="gramStart"/>
      <w:r>
        <w:rPr>
          <w:rFonts w:ascii="Helvetica" w:hAnsi="Helvetica" w:cs="Helvetica"/>
          <w:color w:val="000000"/>
          <w:sz w:val="29"/>
          <w:szCs w:val="29"/>
        </w:rPr>
        <w:t>保险支缴率</w:t>
      </w:r>
      <w:proofErr w:type="gramEnd"/>
      <w:r>
        <w:rPr>
          <w:rFonts w:ascii="Helvetica" w:hAnsi="Helvetica" w:cs="Helvetica"/>
          <w:color w:val="000000"/>
          <w:sz w:val="29"/>
          <w:szCs w:val="29"/>
        </w:rPr>
        <w:t>均为零的，或者上一浮动周期内工伤发生率为零且工伤</w:t>
      </w:r>
      <w:proofErr w:type="gramStart"/>
      <w:r>
        <w:rPr>
          <w:rFonts w:ascii="Helvetica" w:hAnsi="Helvetica" w:cs="Helvetica"/>
          <w:color w:val="000000"/>
          <w:sz w:val="29"/>
          <w:szCs w:val="29"/>
        </w:rPr>
        <w:t>保险支缴率</w:t>
      </w:r>
      <w:proofErr w:type="gramEnd"/>
      <w:r>
        <w:rPr>
          <w:rFonts w:ascii="Helvetica" w:hAnsi="Helvetica" w:cs="Helvetica"/>
          <w:color w:val="000000"/>
          <w:sz w:val="29"/>
          <w:szCs w:val="29"/>
        </w:rPr>
        <w:t>小于等于</w:t>
      </w:r>
      <w:r>
        <w:rPr>
          <w:rFonts w:ascii="Helvetica" w:hAnsi="Helvetica" w:cs="Helvetica"/>
          <w:color w:val="000000"/>
          <w:sz w:val="29"/>
          <w:szCs w:val="29"/>
        </w:rPr>
        <w:t>40%</w:t>
      </w:r>
      <w:r>
        <w:rPr>
          <w:rFonts w:ascii="Helvetica" w:hAnsi="Helvetica" w:cs="Helvetica"/>
          <w:color w:val="000000"/>
          <w:sz w:val="29"/>
          <w:szCs w:val="29"/>
        </w:rPr>
        <w:t>的劳动关系和谐企业，费率下浮至本行业基准费率的</w:t>
      </w:r>
      <w:r>
        <w:rPr>
          <w:rFonts w:ascii="Helvetica" w:hAnsi="Helvetica" w:cs="Helvetica"/>
          <w:color w:val="000000"/>
          <w:sz w:val="29"/>
          <w:szCs w:val="29"/>
        </w:rPr>
        <w:t>50%</w:t>
      </w:r>
      <w:r>
        <w:rPr>
          <w:rFonts w:ascii="Helvetica" w:hAnsi="Helvetica" w:cs="Helvetica"/>
          <w:color w:val="000000"/>
          <w:sz w:val="29"/>
          <w:szCs w:val="29"/>
        </w:rPr>
        <w:t>。</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第十一条</w:t>
      </w:r>
      <w:r>
        <w:rPr>
          <w:rFonts w:ascii="Helvetica" w:hAnsi="Helvetica" w:cs="Helvetica"/>
          <w:color w:val="000000"/>
          <w:sz w:val="29"/>
          <w:szCs w:val="29"/>
        </w:rPr>
        <w:t xml:space="preserve"> </w:t>
      </w:r>
      <w:r>
        <w:rPr>
          <w:rFonts w:ascii="Helvetica" w:hAnsi="Helvetica" w:cs="Helvetica"/>
          <w:color w:val="000000"/>
          <w:sz w:val="29"/>
          <w:szCs w:val="29"/>
        </w:rPr>
        <w:t>用人单位上一浮动周期内支缴率大于</w:t>
      </w:r>
      <w:r>
        <w:rPr>
          <w:rFonts w:ascii="Helvetica" w:hAnsi="Helvetica" w:cs="Helvetica"/>
          <w:color w:val="000000"/>
          <w:sz w:val="29"/>
          <w:szCs w:val="29"/>
        </w:rPr>
        <w:t>80%</w:t>
      </w:r>
      <w:r>
        <w:rPr>
          <w:rFonts w:ascii="Helvetica" w:hAnsi="Helvetica" w:cs="Helvetica"/>
          <w:color w:val="000000"/>
          <w:sz w:val="29"/>
          <w:szCs w:val="29"/>
        </w:rPr>
        <w:t>小于等于</w:t>
      </w:r>
      <w:r>
        <w:rPr>
          <w:rFonts w:ascii="Helvetica" w:hAnsi="Helvetica" w:cs="Helvetica"/>
          <w:color w:val="000000"/>
          <w:sz w:val="29"/>
          <w:szCs w:val="29"/>
        </w:rPr>
        <w:t>150%</w:t>
      </w:r>
      <w:r>
        <w:rPr>
          <w:rFonts w:ascii="Helvetica" w:hAnsi="Helvetica" w:cs="Helvetica"/>
          <w:color w:val="000000"/>
          <w:sz w:val="29"/>
          <w:szCs w:val="29"/>
        </w:rPr>
        <w:t>且工伤发生率大于</w:t>
      </w:r>
      <w:r>
        <w:rPr>
          <w:rFonts w:ascii="Helvetica" w:hAnsi="Helvetica" w:cs="Helvetica"/>
          <w:color w:val="000000"/>
          <w:sz w:val="29"/>
          <w:szCs w:val="29"/>
        </w:rPr>
        <w:t>1%</w:t>
      </w:r>
      <w:r>
        <w:rPr>
          <w:rFonts w:ascii="Helvetica" w:hAnsi="Helvetica" w:cs="Helvetica"/>
          <w:color w:val="000000"/>
          <w:sz w:val="29"/>
          <w:szCs w:val="29"/>
        </w:rPr>
        <w:t>小于等于</w:t>
      </w:r>
      <w:r>
        <w:rPr>
          <w:rFonts w:ascii="Helvetica" w:hAnsi="Helvetica" w:cs="Helvetica"/>
          <w:color w:val="000000"/>
          <w:sz w:val="29"/>
          <w:szCs w:val="29"/>
        </w:rPr>
        <w:t>3%</w:t>
      </w:r>
      <w:r>
        <w:rPr>
          <w:rFonts w:ascii="Helvetica" w:hAnsi="Helvetica" w:cs="Helvetica"/>
          <w:color w:val="000000"/>
          <w:sz w:val="29"/>
          <w:szCs w:val="29"/>
        </w:rPr>
        <w:t>的，</w:t>
      </w:r>
      <w:proofErr w:type="gramStart"/>
      <w:r>
        <w:rPr>
          <w:rFonts w:ascii="Helvetica" w:hAnsi="Helvetica" w:cs="Helvetica"/>
          <w:color w:val="000000"/>
          <w:sz w:val="29"/>
          <w:szCs w:val="29"/>
        </w:rPr>
        <w:t>或者支缴率</w:t>
      </w:r>
      <w:proofErr w:type="gramEnd"/>
      <w:r>
        <w:rPr>
          <w:rFonts w:ascii="Helvetica" w:hAnsi="Helvetica" w:cs="Helvetica"/>
          <w:color w:val="000000"/>
          <w:sz w:val="29"/>
          <w:szCs w:val="29"/>
        </w:rPr>
        <w:t>大于</w:t>
      </w:r>
      <w:r>
        <w:rPr>
          <w:rFonts w:ascii="Helvetica" w:hAnsi="Helvetica" w:cs="Helvetica"/>
          <w:color w:val="000000"/>
          <w:sz w:val="29"/>
          <w:szCs w:val="29"/>
        </w:rPr>
        <w:t>150%</w:t>
      </w:r>
      <w:r>
        <w:rPr>
          <w:rFonts w:ascii="Helvetica" w:hAnsi="Helvetica" w:cs="Helvetica"/>
          <w:color w:val="000000"/>
          <w:sz w:val="29"/>
          <w:szCs w:val="29"/>
        </w:rPr>
        <w:lastRenderedPageBreak/>
        <w:t>小于等于</w:t>
      </w:r>
      <w:r>
        <w:rPr>
          <w:rFonts w:ascii="Helvetica" w:hAnsi="Helvetica" w:cs="Helvetica"/>
          <w:color w:val="000000"/>
          <w:sz w:val="29"/>
          <w:szCs w:val="29"/>
        </w:rPr>
        <w:t>300%</w:t>
      </w:r>
      <w:r>
        <w:rPr>
          <w:rFonts w:ascii="Helvetica" w:hAnsi="Helvetica" w:cs="Helvetica"/>
          <w:color w:val="000000"/>
          <w:sz w:val="29"/>
          <w:szCs w:val="29"/>
        </w:rPr>
        <w:t>的且工伤发生率小于等于</w:t>
      </w:r>
      <w:r>
        <w:rPr>
          <w:rFonts w:ascii="Helvetica" w:hAnsi="Helvetica" w:cs="Helvetica"/>
          <w:color w:val="000000"/>
          <w:sz w:val="29"/>
          <w:szCs w:val="29"/>
        </w:rPr>
        <w:t>3%</w:t>
      </w:r>
      <w:r>
        <w:rPr>
          <w:rFonts w:ascii="Helvetica" w:hAnsi="Helvetica" w:cs="Helvetica"/>
          <w:color w:val="000000"/>
          <w:sz w:val="29"/>
          <w:szCs w:val="29"/>
        </w:rPr>
        <w:t>的，费率上浮至本行业基准费率的</w:t>
      </w:r>
      <w:r>
        <w:rPr>
          <w:rFonts w:ascii="Helvetica" w:hAnsi="Helvetica" w:cs="Helvetica"/>
          <w:color w:val="000000"/>
          <w:sz w:val="29"/>
          <w:szCs w:val="29"/>
        </w:rPr>
        <w:t>120%</w:t>
      </w:r>
      <w:r>
        <w:rPr>
          <w:rFonts w:ascii="Helvetica" w:hAnsi="Helvetica" w:cs="Helvetica"/>
          <w:color w:val="000000"/>
          <w:sz w:val="29"/>
          <w:szCs w:val="29"/>
        </w:rPr>
        <w:t>；</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用人单位上一浮动周期内支缴率大于</w:t>
      </w:r>
      <w:r>
        <w:rPr>
          <w:rFonts w:ascii="Helvetica" w:hAnsi="Helvetica" w:cs="Helvetica"/>
          <w:color w:val="000000"/>
          <w:sz w:val="29"/>
          <w:szCs w:val="29"/>
        </w:rPr>
        <w:t>300%</w:t>
      </w:r>
      <w:r>
        <w:rPr>
          <w:rFonts w:ascii="Helvetica" w:hAnsi="Helvetica" w:cs="Helvetica"/>
          <w:color w:val="000000"/>
          <w:sz w:val="29"/>
          <w:szCs w:val="29"/>
        </w:rPr>
        <w:t>的，或者工伤发生率大于</w:t>
      </w:r>
      <w:r>
        <w:rPr>
          <w:rFonts w:ascii="Helvetica" w:hAnsi="Helvetica" w:cs="Helvetica"/>
          <w:color w:val="000000"/>
          <w:sz w:val="29"/>
          <w:szCs w:val="29"/>
        </w:rPr>
        <w:t>3%</w:t>
      </w:r>
      <w:r>
        <w:rPr>
          <w:rFonts w:ascii="Helvetica" w:hAnsi="Helvetica" w:cs="Helvetica"/>
          <w:color w:val="000000"/>
          <w:sz w:val="29"/>
          <w:szCs w:val="29"/>
        </w:rPr>
        <w:t>的，或者被依法列为安全生产领域联合惩戒对象（含各类安全生产与职业病危害</w:t>
      </w:r>
      <w:r>
        <w:rPr>
          <w:rFonts w:ascii="Helvetica" w:hAnsi="Helvetica" w:cs="Helvetica"/>
          <w:color w:val="000000"/>
          <w:sz w:val="29"/>
          <w:szCs w:val="29"/>
        </w:rPr>
        <w:t>“</w:t>
      </w:r>
      <w:r>
        <w:rPr>
          <w:rFonts w:ascii="Helvetica" w:hAnsi="Helvetica" w:cs="Helvetica"/>
          <w:color w:val="000000"/>
          <w:sz w:val="29"/>
          <w:szCs w:val="29"/>
        </w:rPr>
        <w:t>黑名单</w:t>
      </w:r>
      <w:r>
        <w:rPr>
          <w:rFonts w:ascii="Helvetica" w:hAnsi="Helvetica" w:cs="Helvetica"/>
          <w:color w:val="000000"/>
          <w:sz w:val="29"/>
          <w:szCs w:val="29"/>
        </w:rPr>
        <w:t>”</w:t>
      </w:r>
      <w:r>
        <w:rPr>
          <w:rFonts w:ascii="Helvetica" w:hAnsi="Helvetica" w:cs="Helvetica"/>
          <w:color w:val="000000"/>
          <w:sz w:val="29"/>
          <w:szCs w:val="29"/>
        </w:rPr>
        <w:t>）用人单位，费率上浮至本行业基准费率的</w:t>
      </w:r>
      <w:r>
        <w:rPr>
          <w:rFonts w:ascii="Helvetica" w:hAnsi="Helvetica" w:cs="Helvetica"/>
          <w:color w:val="000000"/>
          <w:sz w:val="29"/>
          <w:szCs w:val="29"/>
        </w:rPr>
        <w:t>150%</w:t>
      </w:r>
      <w:r>
        <w:rPr>
          <w:rFonts w:ascii="Helvetica" w:hAnsi="Helvetica" w:cs="Helvetica"/>
          <w:color w:val="000000"/>
          <w:sz w:val="29"/>
          <w:szCs w:val="29"/>
        </w:rPr>
        <w:t>。</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第十二条</w:t>
      </w:r>
      <w:r>
        <w:rPr>
          <w:rFonts w:ascii="Helvetica" w:hAnsi="Helvetica" w:cs="Helvetica"/>
          <w:color w:val="000000"/>
          <w:sz w:val="29"/>
          <w:szCs w:val="29"/>
        </w:rPr>
        <w:t xml:space="preserve"> </w:t>
      </w:r>
      <w:r>
        <w:rPr>
          <w:rFonts w:ascii="Helvetica" w:hAnsi="Helvetica" w:cs="Helvetica"/>
          <w:color w:val="000000"/>
          <w:sz w:val="29"/>
          <w:szCs w:val="29"/>
        </w:rPr>
        <w:t>用人单位上一浮动周期内工伤</w:t>
      </w:r>
      <w:proofErr w:type="gramStart"/>
      <w:r>
        <w:rPr>
          <w:rFonts w:ascii="Helvetica" w:hAnsi="Helvetica" w:cs="Helvetica"/>
          <w:color w:val="000000"/>
          <w:sz w:val="29"/>
          <w:szCs w:val="29"/>
        </w:rPr>
        <w:t>保险支缴率</w:t>
      </w:r>
      <w:proofErr w:type="gramEnd"/>
      <w:r>
        <w:rPr>
          <w:rFonts w:ascii="Helvetica" w:hAnsi="Helvetica" w:cs="Helvetica"/>
          <w:color w:val="000000"/>
          <w:sz w:val="29"/>
          <w:szCs w:val="29"/>
        </w:rPr>
        <w:t>、工伤发生率不符合本办法第十条、第十一条规定的，按照其所属行业基准费率缴纳工伤保险费。</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第十三条</w:t>
      </w:r>
      <w:r>
        <w:rPr>
          <w:rFonts w:ascii="Helvetica" w:hAnsi="Helvetica" w:cs="Helvetica"/>
          <w:color w:val="000000"/>
          <w:sz w:val="29"/>
          <w:szCs w:val="29"/>
        </w:rPr>
        <w:t xml:space="preserve"> </w:t>
      </w:r>
      <w:r>
        <w:rPr>
          <w:rFonts w:ascii="Helvetica" w:hAnsi="Helvetica" w:cs="Helvetica"/>
          <w:color w:val="000000"/>
          <w:sz w:val="29"/>
          <w:szCs w:val="29"/>
        </w:rPr>
        <w:t>用人单位上一浮动周期内有下列情形之一的，工伤保险费率不得下浮：</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1</w:t>
      </w:r>
      <w:r>
        <w:rPr>
          <w:rFonts w:ascii="Helvetica" w:hAnsi="Helvetica" w:cs="Helvetica"/>
          <w:color w:val="000000"/>
          <w:sz w:val="29"/>
          <w:szCs w:val="29"/>
        </w:rPr>
        <w:t>．欠缴工伤保险费；</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2</w:t>
      </w:r>
      <w:r>
        <w:rPr>
          <w:rFonts w:ascii="Helvetica" w:hAnsi="Helvetica" w:cs="Helvetica"/>
          <w:color w:val="000000"/>
          <w:sz w:val="29"/>
          <w:szCs w:val="29"/>
        </w:rPr>
        <w:t>．漏报、瞒报工资总额或从业人员人数的；</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3</w:t>
      </w:r>
      <w:r>
        <w:rPr>
          <w:rFonts w:ascii="Helvetica" w:hAnsi="Helvetica" w:cs="Helvetica"/>
          <w:color w:val="000000"/>
          <w:sz w:val="29"/>
          <w:szCs w:val="29"/>
        </w:rPr>
        <w:t>．骗取工伤保险待遇的；</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4</w:t>
      </w:r>
      <w:r>
        <w:rPr>
          <w:rFonts w:ascii="Helvetica" w:hAnsi="Helvetica" w:cs="Helvetica"/>
          <w:color w:val="000000"/>
          <w:sz w:val="29"/>
          <w:szCs w:val="29"/>
        </w:rPr>
        <w:t>．拒不支付一次性就业补助金等工伤保险待遇的；</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5</w:t>
      </w:r>
      <w:r>
        <w:rPr>
          <w:rFonts w:ascii="Helvetica" w:hAnsi="Helvetica" w:cs="Helvetica"/>
          <w:color w:val="000000"/>
          <w:sz w:val="29"/>
          <w:szCs w:val="29"/>
        </w:rPr>
        <w:t>．法律、法规、规章规定的其他不实施下浮的情形。</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第十四条</w:t>
      </w:r>
      <w:r>
        <w:rPr>
          <w:rFonts w:ascii="Helvetica" w:hAnsi="Helvetica" w:cs="Helvetica"/>
          <w:color w:val="000000"/>
          <w:sz w:val="29"/>
          <w:szCs w:val="29"/>
        </w:rPr>
        <w:t xml:space="preserve"> </w:t>
      </w:r>
      <w:r>
        <w:rPr>
          <w:rFonts w:ascii="Helvetica" w:hAnsi="Helvetica" w:cs="Helvetica"/>
          <w:color w:val="000000"/>
          <w:sz w:val="29"/>
          <w:szCs w:val="29"/>
        </w:rPr>
        <w:t>属于下列情形之一的，产生的工伤保险费用不</w:t>
      </w:r>
      <w:proofErr w:type="gramStart"/>
      <w:r>
        <w:rPr>
          <w:rFonts w:ascii="Helvetica" w:hAnsi="Helvetica" w:cs="Helvetica"/>
          <w:color w:val="000000"/>
          <w:sz w:val="29"/>
          <w:szCs w:val="29"/>
        </w:rPr>
        <w:t>纳入支缴率</w:t>
      </w:r>
      <w:proofErr w:type="gramEnd"/>
      <w:r>
        <w:rPr>
          <w:rFonts w:ascii="Helvetica" w:hAnsi="Helvetica" w:cs="Helvetica"/>
          <w:color w:val="000000"/>
          <w:sz w:val="29"/>
          <w:szCs w:val="29"/>
        </w:rPr>
        <w:t>核算范围：</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1</w:t>
      </w:r>
      <w:r>
        <w:rPr>
          <w:rFonts w:ascii="Helvetica" w:hAnsi="Helvetica" w:cs="Helvetica"/>
          <w:color w:val="000000"/>
          <w:sz w:val="29"/>
          <w:szCs w:val="29"/>
        </w:rPr>
        <w:t>．职工在抢险救灾等维护国家利益、公共利益活动中受到伤害的；</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t>2</w:t>
      </w:r>
      <w:r>
        <w:rPr>
          <w:rFonts w:ascii="Helvetica" w:hAnsi="Helvetica" w:cs="Helvetica"/>
          <w:color w:val="000000"/>
          <w:sz w:val="29"/>
          <w:szCs w:val="29"/>
        </w:rPr>
        <w:t>．职工原在军队服役，因战、因公负伤致残，已取得革命伤残军人证，到用人单位后旧伤复发的。</w:t>
      </w:r>
    </w:p>
    <w:p w:rsidR="00006519" w:rsidRDefault="00006519" w:rsidP="00006519">
      <w:pPr>
        <w:pStyle w:val="a3"/>
        <w:spacing w:before="0" w:beforeAutospacing="0" w:after="0" w:afterAutospacing="0" w:line="312" w:lineRule="auto"/>
        <w:ind w:firstLine="482"/>
        <w:rPr>
          <w:rFonts w:ascii="Helvetica" w:hAnsi="Helvetica" w:cs="Helvetica"/>
          <w:color w:val="000000"/>
          <w:sz w:val="29"/>
          <w:szCs w:val="29"/>
        </w:rPr>
      </w:pPr>
      <w:r>
        <w:rPr>
          <w:rFonts w:ascii="Helvetica" w:hAnsi="Helvetica" w:cs="Helvetica"/>
          <w:color w:val="000000"/>
          <w:sz w:val="29"/>
          <w:szCs w:val="29"/>
        </w:rPr>
        <w:lastRenderedPageBreak/>
        <w:t>第十五条</w:t>
      </w:r>
      <w:r>
        <w:rPr>
          <w:rFonts w:ascii="Helvetica" w:hAnsi="Helvetica" w:cs="Helvetica"/>
          <w:color w:val="000000"/>
          <w:sz w:val="29"/>
          <w:szCs w:val="29"/>
        </w:rPr>
        <w:t xml:space="preserve"> </w:t>
      </w:r>
      <w:r>
        <w:rPr>
          <w:rFonts w:ascii="Helvetica" w:hAnsi="Helvetica" w:cs="Helvetica"/>
          <w:color w:val="000000"/>
          <w:sz w:val="29"/>
          <w:szCs w:val="29"/>
        </w:rPr>
        <w:t>用人单位对经办机构确定的单位缴费费率有异议的，可以向当地社会保险经办机构申请重新核定。当地社会保险经办机构重新核定后，用人单位仍不服的，可以依法申请行政复议，也可以依法向人民法院提起行政诉讼。</w:t>
      </w:r>
    </w:p>
    <w:p w:rsidR="00006519" w:rsidRDefault="00006519" w:rsidP="00006519">
      <w:pPr>
        <w:pStyle w:val="a3"/>
        <w:spacing w:before="0" w:beforeAutospacing="0" w:after="0" w:afterAutospacing="0" w:line="312" w:lineRule="auto"/>
        <w:ind w:firstLine="482"/>
        <w:rPr>
          <w:rFonts w:ascii="Helvetica" w:hAnsi="Helvetica" w:cs="Helvetica" w:hint="eastAsia"/>
          <w:color w:val="000000"/>
          <w:sz w:val="29"/>
          <w:szCs w:val="29"/>
        </w:rPr>
      </w:pPr>
      <w:r>
        <w:rPr>
          <w:rFonts w:ascii="Helvetica" w:hAnsi="Helvetica" w:cs="Helvetica"/>
          <w:color w:val="000000"/>
          <w:sz w:val="29"/>
          <w:szCs w:val="29"/>
        </w:rPr>
        <w:t>第十六条</w:t>
      </w:r>
      <w:r>
        <w:rPr>
          <w:rFonts w:ascii="Helvetica" w:hAnsi="Helvetica" w:cs="Helvetica"/>
          <w:color w:val="000000"/>
          <w:sz w:val="29"/>
          <w:szCs w:val="29"/>
        </w:rPr>
        <w:t xml:space="preserve">  </w:t>
      </w:r>
      <w:r>
        <w:rPr>
          <w:rFonts w:ascii="Helvetica" w:hAnsi="Helvetica" w:cs="Helvetica"/>
          <w:color w:val="000000"/>
          <w:sz w:val="29"/>
          <w:szCs w:val="29"/>
        </w:rPr>
        <w:t>本办法自</w:t>
      </w:r>
      <w:r>
        <w:rPr>
          <w:rFonts w:ascii="Helvetica" w:hAnsi="Helvetica" w:cs="Helvetica"/>
          <w:color w:val="000000"/>
          <w:sz w:val="29"/>
          <w:szCs w:val="29"/>
        </w:rPr>
        <w:t>2021</w:t>
      </w:r>
      <w:r>
        <w:rPr>
          <w:rFonts w:ascii="Helvetica" w:hAnsi="Helvetica" w:cs="Helvetica"/>
          <w:color w:val="000000"/>
          <w:sz w:val="29"/>
          <w:szCs w:val="29"/>
        </w:rPr>
        <w:t>年</w:t>
      </w:r>
      <w:r>
        <w:rPr>
          <w:rFonts w:ascii="Helvetica" w:hAnsi="Helvetica" w:cs="Helvetica"/>
          <w:color w:val="000000"/>
          <w:sz w:val="29"/>
          <w:szCs w:val="29"/>
        </w:rPr>
        <w:t>1</w:t>
      </w:r>
      <w:r>
        <w:rPr>
          <w:rFonts w:ascii="Helvetica" w:hAnsi="Helvetica" w:cs="Helvetica"/>
          <w:color w:val="000000"/>
          <w:sz w:val="29"/>
          <w:szCs w:val="29"/>
        </w:rPr>
        <w:t>月</w:t>
      </w:r>
      <w:r>
        <w:rPr>
          <w:rFonts w:ascii="Helvetica" w:hAnsi="Helvetica" w:cs="Helvetica"/>
          <w:color w:val="000000"/>
          <w:sz w:val="29"/>
          <w:szCs w:val="29"/>
        </w:rPr>
        <w:t>1</w:t>
      </w:r>
      <w:r>
        <w:rPr>
          <w:rFonts w:ascii="Helvetica" w:hAnsi="Helvetica" w:cs="Helvetica"/>
          <w:color w:val="000000"/>
          <w:sz w:val="29"/>
          <w:szCs w:val="29"/>
        </w:rPr>
        <w:t>日起施行。各预算单位在本办法施行前适用的原费率浮动计算周期，自本办法施行之日起重新计算。</w:t>
      </w: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pStyle w:val="a3"/>
        <w:spacing w:before="0" w:beforeAutospacing="0" w:after="0" w:afterAutospacing="0" w:line="360" w:lineRule="auto"/>
        <w:ind w:firstLine="482"/>
        <w:rPr>
          <w:rFonts w:ascii="Helvetica" w:hAnsi="Helvetica" w:cs="Helvetica" w:hint="eastAsia"/>
          <w:color w:val="000000"/>
          <w:sz w:val="29"/>
          <w:szCs w:val="29"/>
        </w:rPr>
      </w:pPr>
    </w:p>
    <w:p w:rsidR="00006519" w:rsidRDefault="00006519" w:rsidP="00006519">
      <w:pPr>
        <w:widowControl/>
        <w:spacing w:line="590" w:lineRule="exact"/>
        <w:rPr>
          <w:rFonts w:ascii="Times New Roman" w:eastAsia="方正黑体_GBK" w:hAnsi="Times New Roman"/>
          <w:bCs/>
          <w:sz w:val="32"/>
          <w:szCs w:val="32"/>
        </w:rPr>
      </w:pPr>
      <w:r>
        <w:rPr>
          <w:rFonts w:ascii="Times New Roman" w:eastAsia="方正黑体_GBK" w:hAnsi="Times New Roman" w:hint="eastAsia"/>
          <w:bCs/>
          <w:sz w:val="32"/>
          <w:szCs w:val="32"/>
        </w:rPr>
        <w:lastRenderedPageBreak/>
        <w:t>附件</w:t>
      </w:r>
    </w:p>
    <w:p w:rsidR="00006519" w:rsidRDefault="00006519" w:rsidP="00006519">
      <w:pPr>
        <w:widowControl/>
        <w:spacing w:line="560" w:lineRule="exact"/>
        <w:jc w:val="center"/>
        <w:rPr>
          <w:rFonts w:ascii="Times New Roman" w:eastAsia="方正小标宋_GBK" w:hAnsi="Times New Roman"/>
          <w:bCs/>
          <w:kern w:val="0"/>
          <w:sz w:val="44"/>
          <w:szCs w:val="44"/>
        </w:rPr>
      </w:pPr>
      <w:r>
        <w:rPr>
          <w:rFonts w:ascii="Times New Roman" w:eastAsia="方正小标宋_GBK" w:hAnsi="Times New Roman" w:hint="eastAsia"/>
          <w:bCs/>
          <w:kern w:val="0"/>
          <w:sz w:val="44"/>
          <w:szCs w:val="44"/>
        </w:rPr>
        <w:t>江苏省工伤保险行业风险分类与费率表</w:t>
      </w:r>
    </w:p>
    <w:p w:rsidR="00006519" w:rsidRDefault="00006519" w:rsidP="00006519">
      <w:pPr>
        <w:widowControl/>
        <w:spacing w:line="590" w:lineRule="exact"/>
        <w:jc w:val="center"/>
        <w:rPr>
          <w:rFonts w:ascii="Times New Roman" w:eastAsia="仿宋_GB2312" w:hAnsi="Times New Roman"/>
          <w:bCs/>
          <w:kern w:val="0"/>
          <w:sz w:val="44"/>
          <w:szCs w:val="44"/>
        </w:rPr>
      </w:pPr>
    </w:p>
    <w:tbl>
      <w:tblPr>
        <w:tblW w:w="9336" w:type="dxa"/>
        <w:jc w:val="center"/>
        <w:tblLayout w:type="fixed"/>
        <w:tblLook w:val="04A0" w:firstRow="1" w:lastRow="0" w:firstColumn="1" w:lastColumn="0" w:noHBand="0" w:noVBand="1"/>
      </w:tblPr>
      <w:tblGrid>
        <w:gridCol w:w="696"/>
        <w:gridCol w:w="4906"/>
        <w:gridCol w:w="1683"/>
        <w:gridCol w:w="2051"/>
      </w:tblGrid>
      <w:tr w:rsidR="00006519" w:rsidTr="00006519">
        <w:trPr>
          <w:trHeight w:val="670"/>
          <w:tblHeader/>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300" w:lineRule="exact"/>
              <w:jc w:val="center"/>
              <w:rPr>
                <w:rFonts w:ascii="Times New Roman" w:eastAsia="方正黑体_GBK" w:hAnsi="Times New Roman"/>
                <w:sz w:val="24"/>
                <w:szCs w:val="24"/>
              </w:rPr>
            </w:pPr>
            <w:r>
              <w:rPr>
                <w:rFonts w:ascii="Times New Roman" w:eastAsia="方正黑体_GBK" w:hAnsi="Times New Roman" w:hint="eastAsia"/>
                <w:sz w:val="24"/>
                <w:szCs w:val="24"/>
              </w:rPr>
              <w:t>行业</w:t>
            </w:r>
          </w:p>
          <w:p w:rsidR="00006519" w:rsidRDefault="00006519">
            <w:pPr>
              <w:spacing w:line="300" w:lineRule="exact"/>
              <w:jc w:val="center"/>
              <w:rPr>
                <w:rFonts w:ascii="Times New Roman" w:eastAsia="方正黑体_GBK" w:hAnsi="Times New Roman"/>
                <w:sz w:val="24"/>
                <w:szCs w:val="24"/>
              </w:rPr>
            </w:pPr>
            <w:r>
              <w:rPr>
                <w:rFonts w:ascii="Times New Roman" w:eastAsia="方正黑体_GBK" w:hAnsi="Times New Roman" w:hint="eastAsia"/>
                <w:sz w:val="24"/>
                <w:szCs w:val="24"/>
              </w:rPr>
              <w:t>类别</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300" w:lineRule="exact"/>
              <w:jc w:val="center"/>
              <w:rPr>
                <w:rFonts w:ascii="Times New Roman" w:eastAsia="方正黑体_GBK" w:hAnsi="Times New Roman"/>
                <w:sz w:val="24"/>
                <w:szCs w:val="24"/>
              </w:rPr>
            </w:pPr>
            <w:r>
              <w:rPr>
                <w:rFonts w:ascii="Times New Roman" w:eastAsia="方正黑体_GBK" w:hAnsi="Times New Roman" w:hint="eastAsia"/>
                <w:sz w:val="24"/>
                <w:szCs w:val="24"/>
              </w:rPr>
              <w:t>行业名称</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300" w:lineRule="exact"/>
              <w:jc w:val="center"/>
              <w:rPr>
                <w:rFonts w:ascii="Times New Roman" w:eastAsia="方正黑体_GBK" w:hAnsi="Times New Roman"/>
                <w:sz w:val="24"/>
                <w:szCs w:val="24"/>
              </w:rPr>
            </w:pPr>
            <w:r>
              <w:rPr>
                <w:rFonts w:ascii="Times New Roman" w:eastAsia="方正黑体_GBK" w:hAnsi="Times New Roman" w:hint="eastAsia"/>
                <w:sz w:val="24"/>
                <w:szCs w:val="24"/>
              </w:rPr>
              <w:t>基准费率（</w:t>
            </w:r>
            <w:r>
              <w:rPr>
                <w:rFonts w:ascii="Times New Roman" w:eastAsia="方正黑体_GBK" w:hAnsi="Times New Roman"/>
                <w:sz w:val="24"/>
                <w:szCs w:val="24"/>
              </w:rPr>
              <w:t>%</w:t>
            </w:r>
            <w:r>
              <w:rPr>
                <w:rFonts w:ascii="Times New Roman" w:eastAsia="方正黑体_GBK" w:hAnsi="Times New Roman" w:hint="eastAsia"/>
                <w:sz w:val="24"/>
                <w:szCs w:val="24"/>
              </w:rPr>
              <w:t>）</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300" w:lineRule="exact"/>
              <w:jc w:val="center"/>
              <w:rPr>
                <w:rFonts w:ascii="Times New Roman" w:eastAsia="方正黑体_GBK" w:hAnsi="Times New Roman"/>
                <w:sz w:val="24"/>
                <w:szCs w:val="24"/>
              </w:rPr>
            </w:pPr>
            <w:r>
              <w:rPr>
                <w:rFonts w:ascii="Times New Roman" w:eastAsia="方正黑体_GBK" w:hAnsi="Times New Roman" w:hint="eastAsia"/>
                <w:sz w:val="24"/>
                <w:szCs w:val="24"/>
              </w:rPr>
              <w:t>浮动费率（</w:t>
            </w:r>
            <w:r>
              <w:rPr>
                <w:rFonts w:ascii="Times New Roman" w:eastAsia="方正黑体_GBK" w:hAnsi="Times New Roman"/>
                <w:sz w:val="24"/>
                <w:szCs w:val="24"/>
              </w:rPr>
              <w:t>%</w:t>
            </w:r>
            <w:r>
              <w:rPr>
                <w:rFonts w:ascii="Times New Roman" w:eastAsia="方正黑体_GBK" w:hAnsi="Times New Roman" w:hint="eastAsia"/>
                <w:sz w:val="24"/>
                <w:szCs w:val="24"/>
              </w:rPr>
              <w:t>）</w:t>
            </w:r>
          </w:p>
        </w:tc>
      </w:tr>
      <w:tr w:rsidR="00006519" w:rsidTr="00006519">
        <w:trPr>
          <w:trHeight w:val="3215"/>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proofErr w:type="gramStart"/>
            <w:r>
              <w:rPr>
                <w:rFonts w:ascii="Times New Roman" w:eastAsia="方正仿宋_GBK" w:hAnsi="Times New Roman" w:hint="eastAsia"/>
                <w:sz w:val="24"/>
                <w:szCs w:val="24"/>
              </w:rPr>
              <w:t>一</w:t>
            </w:r>
            <w:proofErr w:type="gramEnd"/>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软件和信息技术服务业，货币金融服务，资本市场服务，保险业，其他金融业，科技推广和应用服务业，社会工作，广播、电视、电影和影视录音制作业，中国共产党机关，国家机构，人民政协、民主党派，社会保障，群众团体、社会团体和其他成员组织，基层群众自治组织，国际组织</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0.2</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0.24</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0.3</w:t>
            </w:r>
          </w:p>
        </w:tc>
      </w:tr>
      <w:tr w:rsidR="00006519" w:rsidTr="00006519">
        <w:trPr>
          <w:trHeight w:val="2996"/>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t>二</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批发业，零售业，仓储业，邮政业，住宿业，餐饮业，电信、广播电视和卫星传输服务，互联网和相关服务，房地产业，租赁业，商务服务业，研究和试验发展，专业技术服务业，居民服务业，其他服务业，教育，卫生，新闻和出版业，文化艺术业</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0.4</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0.2</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0.32</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0.48</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0.6</w:t>
            </w:r>
          </w:p>
        </w:tc>
      </w:tr>
      <w:tr w:rsidR="00006519" w:rsidTr="00006519">
        <w:trPr>
          <w:trHeight w:val="3709"/>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t>三</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农副食品加工业，食品制造业，酒、饮料和精制茶制造业，烟草制品业，纺织业，木材加工和</w:t>
            </w:r>
            <w:proofErr w:type="gramStart"/>
            <w:r>
              <w:rPr>
                <w:rFonts w:ascii="Times New Roman" w:eastAsia="方正仿宋_GBK" w:hAnsi="Times New Roman" w:hint="eastAsia"/>
                <w:sz w:val="24"/>
                <w:szCs w:val="24"/>
              </w:rPr>
              <w:t>木、</w:t>
            </w:r>
            <w:proofErr w:type="gramEnd"/>
            <w:r>
              <w:rPr>
                <w:rFonts w:ascii="Times New Roman" w:eastAsia="方正仿宋_GBK" w:hAnsi="Times New Roman" w:hint="eastAsia"/>
                <w:sz w:val="24"/>
                <w:szCs w:val="24"/>
              </w:rPr>
              <w:t>竹、藤、棕、草制品业，文教、工美、体育和娱乐用品制造业，计算机、通信和其他电子设备制造业，仪器仪表制造业，其他制造业，水的生产和供应业，机动车、电子产品和日用产品修理业，水利管理业，生态保护和环境治理业，公共设施管理业，娱乐业</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0.7</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0.35</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0.56</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0.84</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1.05</w:t>
            </w:r>
          </w:p>
        </w:tc>
      </w:tr>
      <w:tr w:rsidR="00006519" w:rsidTr="00006519">
        <w:trPr>
          <w:trHeight w:val="4139"/>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lastRenderedPageBreak/>
              <w:t>四</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农业，畜牧业，农、林、牧、渔服务业，纺织服装、服饰业，皮革、毛皮、羽毛及其制品和制鞋业，印刷和记录媒介复制业，医药制造业，化学纤维制造业，橡胶和塑料制品业，金属制品业，通用设备制造业，专用设备制造业，汽车制造业，铁路、船舶、航空航天和其他运输设备制造业，电气机械和器材制造业，废弃资源综合利用业，金属制品、机械和设备修理业，电力、热力生产和供应业，燃气生产和供应业，铁路运输业，航空运输业，管道运输业，体育</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0.9</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0.45</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0.72</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1.08</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1.35</w:t>
            </w:r>
          </w:p>
        </w:tc>
      </w:tr>
      <w:tr w:rsidR="00006519" w:rsidTr="00006519">
        <w:trPr>
          <w:trHeight w:val="1546"/>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t>五</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林业，开采辅助活动，家具制造业，造纸和纸制品业，建筑安装业，建筑装饰和其他建筑业，道路运输业，水上运输业，装卸搬运和运输代理业</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1.1</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0.55</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0.88</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1.32</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1.65</w:t>
            </w:r>
          </w:p>
        </w:tc>
      </w:tr>
      <w:tr w:rsidR="00006519" w:rsidTr="00006519">
        <w:trPr>
          <w:trHeight w:val="1636"/>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t>六</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渔业，化学原料和化学制品制造业，非金属矿物制品业，黑色金属冶炼和压延加工业，有色金属冶炼和压延加工业，房屋建筑业，土木工程建筑业</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1.3</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0.65</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1.04</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1.56</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1.95</w:t>
            </w:r>
          </w:p>
        </w:tc>
      </w:tr>
      <w:tr w:rsidR="00006519" w:rsidTr="00006519">
        <w:trPr>
          <w:trHeight w:val="1551"/>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t>七</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石油和天然气开采业，其他采矿业，石油加工、炼焦和核燃料加工业</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1.6</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0.8</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1.28</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1.92</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2.4</w:t>
            </w:r>
          </w:p>
        </w:tc>
      </w:tr>
      <w:tr w:rsidR="00006519" w:rsidTr="00006519">
        <w:trPr>
          <w:trHeight w:val="1503"/>
          <w:jc w:val="center"/>
        </w:trPr>
        <w:tc>
          <w:tcPr>
            <w:tcW w:w="696" w:type="dxa"/>
            <w:tcBorders>
              <w:top w:val="single" w:sz="4" w:space="0" w:color="000000"/>
              <w:left w:val="single" w:sz="4" w:space="0" w:color="000000"/>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hint="eastAsia"/>
                <w:sz w:val="24"/>
                <w:szCs w:val="24"/>
              </w:rPr>
              <w:t>八</w:t>
            </w:r>
          </w:p>
        </w:tc>
        <w:tc>
          <w:tcPr>
            <w:tcW w:w="4903"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煤炭开采和洗选业，黑色金属矿采选业，有色金属矿采选业，非金属矿采选业</w:t>
            </w:r>
          </w:p>
        </w:tc>
        <w:tc>
          <w:tcPr>
            <w:tcW w:w="1682"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jc w:val="center"/>
              <w:rPr>
                <w:rFonts w:ascii="Times New Roman" w:eastAsia="方正仿宋_GBK" w:hAnsi="Times New Roman"/>
                <w:sz w:val="24"/>
                <w:szCs w:val="24"/>
              </w:rPr>
            </w:pPr>
            <w:r>
              <w:rPr>
                <w:rFonts w:ascii="Times New Roman" w:eastAsia="方正仿宋_GBK" w:hAnsi="Times New Roman"/>
                <w:sz w:val="24"/>
                <w:szCs w:val="24"/>
              </w:rPr>
              <w:t>1.9</w:t>
            </w:r>
          </w:p>
        </w:tc>
        <w:tc>
          <w:tcPr>
            <w:tcW w:w="2050" w:type="dxa"/>
            <w:tcBorders>
              <w:top w:val="single" w:sz="4" w:space="0" w:color="000000"/>
              <w:left w:val="nil"/>
              <w:bottom w:val="single" w:sz="4" w:space="0" w:color="000000"/>
              <w:right w:val="single" w:sz="4" w:space="0" w:color="000000"/>
            </w:tcBorders>
            <w:vAlign w:val="center"/>
            <w:hideMark/>
          </w:tcPr>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下浮二档：</w:t>
            </w:r>
            <w:r>
              <w:rPr>
                <w:rFonts w:ascii="Times New Roman" w:eastAsia="方正仿宋_GBK" w:hAnsi="Times New Roman"/>
                <w:sz w:val="24"/>
                <w:szCs w:val="24"/>
              </w:rPr>
              <w:t>0.95</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下浮一档：</w:t>
            </w:r>
            <w:r>
              <w:rPr>
                <w:rFonts w:ascii="Times New Roman" w:eastAsia="方正仿宋_GBK" w:hAnsi="Times New Roman"/>
                <w:sz w:val="24"/>
                <w:szCs w:val="24"/>
              </w:rPr>
              <w:t>1.52</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上浮一档：</w:t>
            </w:r>
            <w:r>
              <w:rPr>
                <w:rFonts w:ascii="Times New Roman" w:eastAsia="方正仿宋_GBK" w:hAnsi="Times New Roman"/>
                <w:sz w:val="24"/>
                <w:szCs w:val="24"/>
              </w:rPr>
              <w:t>2.28</w:t>
            </w:r>
          </w:p>
          <w:p w:rsidR="00006519" w:rsidRDefault="00006519">
            <w:pPr>
              <w:spacing w:line="400" w:lineRule="exact"/>
              <w:rPr>
                <w:rFonts w:ascii="Times New Roman" w:eastAsia="方正仿宋_GBK" w:hAnsi="Times New Roman"/>
                <w:sz w:val="24"/>
                <w:szCs w:val="24"/>
              </w:rPr>
            </w:pPr>
            <w:r>
              <w:rPr>
                <w:rFonts w:ascii="Times New Roman" w:eastAsia="方正仿宋_GBK" w:hAnsi="Times New Roman" w:hint="eastAsia"/>
                <w:sz w:val="24"/>
                <w:szCs w:val="24"/>
              </w:rPr>
              <w:t>上浮二档：</w:t>
            </w:r>
            <w:r>
              <w:rPr>
                <w:rFonts w:ascii="Times New Roman" w:eastAsia="方正仿宋_GBK" w:hAnsi="Times New Roman"/>
                <w:sz w:val="24"/>
                <w:szCs w:val="24"/>
              </w:rPr>
              <w:t>2.85</w:t>
            </w:r>
          </w:p>
        </w:tc>
      </w:tr>
    </w:tbl>
    <w:p w:rsidR="00006519" w:rsidRDefault="00006519" w:rsidP="00006519"/>
    <w:p w:rsidR="00006519" w:rsidRPr="00006519" w:rsidRDefault="00006519" w:rsidP="00006519">
      <w:pPr>
        <w:pStyle w:val="a3"/>
        <w:spacing w:before="0" w:beforeAutospacing="0" w:after="0" w:afterAutospacing="0" w:line="360" w:lineRule="auto"/>
        <w:ind w:firstLine="482"/>
        <w:rPr>
          <w:rFonts w:ascii="Helvetica" w:hAnsi="Helvetica" w:cs="Helvetica"/>
          <w:color w:val="000000"/>
          <w:sz w:val="29"/>
          <w:szCs w:val="29"/>
        </w:rPr>
      </w:pPr>
    </w:p>
    <w:p w:rsidR="00006519" w:rsidRPr="00006519" w:rsidRDefault="00006519" w:rsidP="00006519">
      <w:pPr>
        <w:jc w:val="center"/>
        <w:rPr>
          <w:sz w:val="36"/>
          <w:szCs w:val="36"/>
        </w:rPr>
      </w:pPr>
    </w:p>
    <w:sectPr w:rsidR="00006519" w:rsidRPr="000065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方正黑体_GBK">
    <w:altName w:val="Arial Unicode MS"/>
    <w:charset w:val="86"/>
    <w:family w:val="script"/>
    <w:pitch w:val="default"/>
    <w:sig w:usb0="00000000" w:usb1="080E0000" w:usb2="00000000" w:usb3="00000000" w:csb0="00040000"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3D3"/>
    <w:rsid w:val="00006519"/>
    <w:rsid w:val="000553D3"/>
    <w:rsid w:val="00635EAE"/>
    <w:rsid w:val="009B2182"/>
    <w:rsid w:val="00E36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651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651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91966">
      <w:bodyDiv w:val="1"/>
      <w:marLeft w:val="0"/>
      <w:marRight w:val="0"/>
      <w:marTop w:val="0"/>
      <w:marBottom w:val="0"/>
      <w:divBdr>
        <w:top w:val="none" w:sz="0" w:space="0" w:color="auto"/>
        <w:left w:val="none" w:sz="0" w:space="0" w:color="auto"/>
        <w:bottom w:val="none" w:sz="0" w:space="0" w:color="auto"/>
        <w:right w:val="none" w:sz="0" w:space="0" w:color="auto"/>
      </w:divBdr>
    </w:div>
    <w:div w:id="60195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2021-01-12T07:35:00Z</dcterms:created>
  <dcterms:modified xsi:type="dcterms:W3CDTF">2021-01-12T07:41:00Z</dcterms:modified>
</cp:coreProperties>
</file>